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3F" w:rsidRPr="00913B26" w:rsidRDefault="00A7043F" w:rsidP="00A7043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13B26">
        <w:rPr>
          <w:rFonts w:ascii="標楷體" w:eastAsia="標楷體" w:hAnsi="標楷體" w:cs="Times New Roman"/>
          <w:b/>
          <w:sz w:val="36"/>
          <w:szCs w:val="36"/>
        </w:rPr>
        <w:t>摘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　</w:t>
      </w:r>
      <w:r w:rsidRPr="00913B26">
        <w:rPr>
          <w:rFonts w:ascii="標楷體" w:eastAsia="標楷體" w:hAnsi="標楷體" w:cs="Times New Roman"/>
          <w:b/>
          <w:sz w:val="36"/>
          <w:szCs w:val="36"/>
        </w:rPr>
        <w:t>要</w:t>
      </w:r>
    </w:p>
    <w:p w:rsidR="00A7043F" w:rsidRPr="002A49D9" w:rsidRDefault="00A7043F" w:rsidP="00A7043F">
      <w:pPr>
        <w:spacing w:after="120" w:line="300" w:lineRule="auto"/>
        <w:ind w:firstLineChars="200" w:firstLine="480"/>
        <w:rPr>
          <w:rFonts w:ascii="Times New Roman" w:eastAsia="標楷體" w:hAnsi="Times New Roman" w:cs="Times New Roman"/>
          <w:sz w:val="24"/>
          <w:szCs w:val="24"/>
        </w:rPr>
      </w:pPr>
      <w:r w:rsidRPr="002A49D9">
        <w:rPr>
          <w:rFonts w:ascii="Times New Roman" w:eastAsia="標楷體" w:hAnsi="Times New Roman" w:cs="Times New Roman"/>
          <w:sz w:val="24"/>
          <w:szCs w:val="24"/>
        </w:rPr>
        <w:t>無論是九零年代的氣候變化綱要公約之談判</w:t>
      </w:r>
      <w:r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2A49D9">
        <w:rPr>
          <w:rFonts w:ascii="Times New Roman" w:eastAsia="標楷體" w:hAnsi="Times New Roman" w:cs="Times New Roman"/>
          <w:sz w:val="24"/>
          <w:szCs w:val="24"/>
        </w:rPr>
        <w:t>或是二十一世紀後京都時期之國際氣候變化管制體系的談判，財務機制之設置與運作向來為最具爭議性的談判議題之</w:t>
      </w:r>
      <w:proofErr w:type="gramStart"/>
      <w:r w:rsidRPr="002A49D9">
        <w:rPr>
          <w:rFonts w:ascii="Times New Roman" w:eastAsia="標楷體" w:hAnsi="Times New Roman" w:cs="Times New Roman"/>
          <w:sz w:val="24"/>
          <w:szCs w:val="24"/>
        </w:rPr>
        <w:t>一</w:t>
      </w:r>
      <w:proofErr w:type="gramEnd"/>
      <w:r w:rsidRPr="002A49D9">
        <w:rPr>
          <w:rFonts w:ascii="Times New Roman" w:eastAsia="標楷體" w:hAnsi="Times New Roman" w:cs="Times New Roman"/>
          <w:sz w:val="24"/>
          <w:szCs w:val="24"/>
        </w:rPr>
        <w:t>。面對龐大的氣候變遷減緩與調適工作所需之財務資源，財務機制是否得以有效的自公、私部門募集足夠之資源，端視各界對於該財務機制得否公正公平</w:t>
      </w:r>
      <w:r>
        <w:rPr>
          <w:rFonts w:ascii="Times New Roman" w:eastAsia="標楷體" w:hAnsi="Times New Roman" w:cs="Times New Roman" w:hint="eastAsia"/>
          <w:sz w:val="24"/>
          <w:szCs w:val="24"/>
        </w:rPr>
        <w:t>地</w:t>
      </w:r>
      <w:r w:rsidRPr="002A49D9">
        <w:rPr>
          <w:rFonts w:ascii="Times New Roman" w:eastAsia="標楷體" w:hAnsi="Times New Roman" w:cs="Times New Roman"/>
          <w:sz w:val="24"/>
          <w:szCs w:val="24"/>
        </w:rPr>
        <w:t>管理與監督資源的使用</w:t>
      </w:r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Pr="002A49D9">
        <w:rPr>
          <w:rFonts w:ascii="Times New Roman" w:eastAsia="標楷體" w:hAnsi="Times New Roman" w:cs="Times New Roman"/>
          <w:sz w:val="24"/>
          <w:szCs w:val="24"/>
        </w:rPr>
        <w:t>換言之，一個被各界視為具正當性的財務機制，自能說服公、私部門投入足夠的資源，</w:t>
      </w:r>
      <w:r>
        <w:rPr>
          <w:rFonts w:ascii="Times New Roman" w:eastAsia="標楷體" w:hAnsi="Times New Roman" w:cs="Times New Roman" w:hint="eastAsia"/>
          <w:sz w:val="24"/>
          <w:szCs w:val="24"/>
        </w:rPr>
        <w:t>並</w:t>
      </w:r>
      <w:r w:rsidRPr="002A49D9">
        <w:rPr>
          <w:rFonts w:ascii="Times New Roman" w:eastAsia="標楷體" w:hAnsi="Times New Roman" w:cs="Times New Roman"/>
          <w:sz w:val="24"/>
          <w:szCs w:val="24"/>
        </w:rPr>
        <w:t>透過該財務機制協助各國政府進行氣候變遷之調適與減緩工作。由開發銀行的經驗觀察，申訴制度</w:t>
      </w:r>
      <w:proofErr w:type="gramStart"/>
      <w:r w:rsidRPr="002A49D9">
        <w:rPr>
          <w:rFonts w:ascii="Times New Roman" w:eastAsia="標楷體" w:hAnsi="Times New Roman" w:cs="Times New Roman"/>
          <w:sz w:val="24"/>
          <w:szCs w:val="24"/>
        </w:rPr>
        <w:t>—</w:t>
      </w:r>
      <w:proofErr w:type="gramEnd"/>
      <w:r w:rsidRPr="002A49D9">
        <w:rPr>
          <w:rFonts w:ascii="Times New Roman" w:eastAsia="標楷體" w:hAnsi="Times New Roman" w:cs="Times New Roman"/>
          <w:sz w:val="24"/>
          <w:szCs w:val="24"/>
        </w:rPr>
        <w:t>例如世界銀行的調查工作小組（</w:t>
      </w:r>
      <w:r w:rsidRPr="002A49D9">
        <w:rPr>
          <w:rFonts w:ascii="Times New Roman" w:eastAsia="標楷體" w:hAnsi="Times New Roman" w:cs="Times New Roman"/>
          <w:sz w:val="24"/>
          <w:szCs w:val="24"/>
        </w:rPr>
        <w:t>Inspection Panel</w:t>
      </w:r>
      <w:r w:rsidRPr="002A49D9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Start"/>
      <w:r w:rsidRPr="002A49D9">
        <w:rPr>
          <w:rFonts w:ascii="Times New Roman" w:eastAsia="標楷體" w:hAnsi="Times New Roman" w:cs="Times New Roman"/>
          <w:sz w:val="24"/>
          <w:szCs w:val="24"/>
        </w:rPr>
        <w:t>—</w:t>
      </w:r>
      <w:proofErr w:type="gramEnd"/>
      <w:r w:rsidRPr="002A49D9">
        <w:rPr>
          <w:rFonts w:ascii="Times New Roman" w:eastAsia="標楷體" w:hAnsi="Times New Roman" w:cs="Times New Roman"/>
          <w:sz w:val="24"/>
          <w:szCs w:val="24"/>
        </w:rPr>
        <w:t>的設置大幅提升</w:t>
      </w:r>
      <w:r>
        <w:rPr>
          <w:rFonts w:ascii="Times New Roman" w:eastAsia="標楷體" w:hAnsi="Times New Roman" w:cs="Times New Roman" w:hint="eastAsia"/>
          <w:sz w:val="24"/>
          <w:szCs w:val="24"/>
        </w:rPr>
        <w:t>了</w:t>
      </w:r>
      <w:r w:rsidRPr="002A49D9">
        <w:rPr>
          <w:rFonts w:ascii="Times New Roman" w:eastAsia="標楷體" w:hAnsi="Times New Roman" w:cs="Times New Roman"/>
          <w:sz w:val="24"/>
          <w:szCs w:val="24"/>
        </w:rPr>
        <w:t>開發銀行之</w:t>
      </w:r>
      <w:proofErr w:type="gramStart"/>
      <w:r w:rsidRPr="002A49D9">
        <w:rPr>
          <w:rFonts w:ascii="Times New Roman" w:eastAsia="標楷體" w:hAnsi="Times New Roman" w:cs="Times New Roman"/>
          <w:sz w:val="24"/>
          <w:szCs w:val="24"/>
        </w:rPr>
        <w:t>可課責性</w:t>
      </w:r>
      <w:proofErr w:type="gramEnd"/>
      <w:r w:rsidRPr="002A49D9">
        <w:rPr>
          <w:rFonts w:ascii="Times New Roman" w:eastAsia="標楷體" w:hAnsi="Times New Roman" w:cs="Times New Roman"/>
          <w:sz w:val="24"/>
          <w:szCs w:val="24"/>
        </w:rPr>
        <w:t>（</w:t>
      </w:r>
      <w:r w:rsidRPr="002A49D9">
        <w:rPr>
          <w:rFonts w:ascii="Times New Roman" w:eastAsia="標楷體" w:hAnsi="Times New Roman" w:cs="Times New Roman"/>
          <w:sz w:val="24"/>
          <w:szCs w:val="24"/>
        </w:rPr>
        <w:t>accountability</w:t>
      </w:r>
      <w:r w:rsidRPr="002A49D9">
        <w:rPr>
          <w:rFonts w:ascii="Times New Roman" w:eastAsia="標楷體" w:hAnsi="Times New Roman" w:cs="Times New Roman"/>
          <w:sz w:val="24"/>
          <w:szCs w:val="24"/>
        </w:rPr>
        <w:t>）與正當性。</w:t>
      </w:r>
      <w:r>
        <w:rPr>
          <w:rFonts w:ascii="Times New Roman" w:eastAsia="標楷體" w:hAnsi="Times New Roman" w:cs="Times New Roman" w:hint="eastAsia"/>
          <w:sz w:val="24"/>
          <w:szCs w:val="24"/>
        </w:rPr>
        <w:t>在</w:t>
      </w:r>
      <w:r w:rsidRPr="002A49D9">
        <w:rPr>
          <w:rFonts w:ascii="Times New Roman" w:eastAsia="標楷體" w:hAnsi="Times New Roman" w:cs="Times New Roman"/>
          <w:sz w:val="24"/>
          <w:szCs w:val="24"/>
        </w:rPr>
        <w:t>目前</w:t>
      </w:r>
      <w:r>
        <w:rPr>
          <w:rFonts w:ascii="Times New Roman" w:eastAsia="標楷體" w:hAnsi="Times New Roman" w:cs="Times New Roman" w:hint="eastAsia"/>
          <w:sz w:val="24"/>
          <w:szCs w:val="24"/>
        </w:rPr>
        <w:t>的</w:t>
      </w:r>
      <w:r w:rsidRPr="002A49D9">
        <w:rPr>
          <w:rFonts w:ascii="Times New Roman" w:eastAsia="標楷體" w:hAnsi="Times New Roman" w:cs="Times New Roman"/>
          <w:sz w:val="24"/>
          <w:szCs w:val="24"/>
        </w:rPr>
        <w:t>氣候變化綱要公約下，</w:t>
      </w:r>
      <w:r>
        <w:rPr>
          <w:rFonts w:ascii="Times New Roman" w:eastAsia="標楷體" w:hAnsi="Times New Roman" w:cs="Times New Roman" w:hint="eastAsia"/>
          <w:sz w:val="24"/>
          <w:szCs w:val="24"/>
        </w:rPr>
        <w:t>已</w:t>
      </w:r>
      <w:r w:rsidRPr="002A49D9">
        <w:rPr>
          <w:rFonts w:ascii="Times New Roman" w:eastAsia="標楷體" w:hAnsi="Times New Roman" w:cs="Times New Roman"/>
          <w:sz w:val="24"/>
          <w:szCs w:val="24"/>
        </w:rPr>
        <w:t>有三大廣義的財務機制</w:t>
      </w:r>
      <w:r>
        <w:rPr>
          <w:rFonts w:ascii="Times New Roman" w:eastAsia="標楷體" w:hAnsi="Times New Roman" w:cs="Times New Roman" w:hint="eastAsia"/>
          <w:sz w:val="24"/>
          <w:szCs w:val="24"/>
        </w:rPr>
        <w:t>，分別為</w:t>
      </w:r>
      <w:r w:rsidRPr="002A49D9">
        <w:rPr>
          <w:rFonts w:ascii="Times New Roman" w:eastAsia="標楷體" w:hAnsi="Times New Roman" w:cs="Times New Roman"/>
          <w:sz w:val="24"/>
          <w:szCs w:val="24"/>
        </w:rPr>
        <w:t>：全球環境設施（</w:t>
      </w:r>
      <w:r w:rsidRPr="002A49D9">
        <w:rPr>
          <w:rFonts w:ascii="Times New Roman" w:eastAsia="標楷體" w:hAnsi="Times New Roman" w:cs="Times New Roman"/>
          <w:sz w:val="24"/>
          <w:szCs w:val="24"/>
        </w:rPr>
        <w:t>GEF</w:t>
      </w:r>
      <w:r w:rsidRPr="002A49D9">
        <w:rPr>
          <w:rFonts w:ascii="Times New Roman" w:eastAsia="標楷體" w:hAnsi="Times New Roman" w:cs="Times New Roman"/>
          <w:sz w:val="24"/>
          <w:szCs w:val="24"/>
        </w:rPr>
        <w:t>）、清潔發展機制（</w:t>
      </w:r>
      <w:r w:rsidRPr="002A49D9">
        <w:rPr>
          <w:rFonts w:ascii="Times New Roman" w:eastAsia="標楷體" w:hAnsi="Times New Roman" w:cs="Times New Roman"/>
          <w:sz w:val="24"/>
          <w:szCs w:val="24"/>
        </w:rPr>
        <w:t>CDM</w:t>
      </w:r>
      <w:r w:rsidRPr="002A49D9">
        <w:rPr>
          <w:rFonts w:ascii="Times New Roman" w:eastAsia="標楷體" w:hAnsi="Times New Roman" w:cs="Times New Roman"/>
          <w:sz w:val="24"/>
          <w:szCs w:val="24"/>
        </w:rPr>
        <w:t>）、以及新設立的綠色氣候基金（</w:t>
      </w:r>
      <w:r w:rsidRPr="002A49D9">
        <w:rPr>
          <w:rFonts w:ascii="Times New Roman" w:eastAsia="標楷體" w:hAnsi="Times New Roman" w:cs="Times New Roman"/>
          <w:sz w:val="24"/>
          <w:szCs w:val="24"/>
        </w:rPr>
        <w:t>GCF</w:t>
      </w:r>
      <w:r w:rsidRPr="002A49D9">
        <w:rPr>
          <w:rFonts w:ascii="Times New Roman" w:eastAsia="標楷體" w:hAnsi="Times New Roman" w:cs="Times New Roman"/>
          <w:sz w:val="24"/>
          <w:szCs w:val="24"/>
        </w:rPr>
        <w:t>）</w:t>
      </w:r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Pr="002A49D9">
        <w:rPr>
          <w:rFonts w:ascii="Times New Roman" w:eastAsia="標楷體" w:hAnsi="Times New Roman" w:cs="Times New Roman"/>
          <w:sz w:val="24"/>
          <w:szCs w:val="24"/>
        </w:rPr>
        <w:t>針對此三類財務機制</w:t>
      </w:r>
      <w:r>
        <w:rPr>
          <w:rFonts w:ascii="Times New Roman" w:eastAsia="標楷體" w:hAnsi="Times New Roman" w:cs="Times New Roman" w:hint="eastAsia"/>
          <w:sz w:val="24"/>
          <w:szCs w:val="24"/>
        </w:rPr>
        <w:t>之申訴制度，</w:t>
      </w:r>
      <w:r w:rsidRPr="002A49D9">
        <w:rPr>
          <w:rFonts w:ascii="Times New Roman" w:eastAsia="標楷體" w:hAnsi="Times New Roman" w:cs="Times New Roman"/>
          <w:sz w:val="24"/>
          <w:szCs w:val="24"/>
        </w:rPr>
        <w:t>GEF</w:t>
      </w:r>
      <w:r w:rsidRPr="002A49D9">
        <w:rPr>
          <w:rFonts w:ascii="Times New Roman" w:eastAsia="標楷體" w:hAnsi="Times New Roman" w:cs="Times New Roman"/>
          <w:sz w:val="24"/>
          <w:szCs w:val="24"/>
        </w:rPr>
        <w:t>可使用世界銀行之調查工作小組作為其申訴制度</w:t>
      </w:r>
      <w:r>
        <w:rPr>
          <w:rFonts w:ascii="Times New Roman" w:eastAsia="標楷體" w:hAnsi="Times New Roman" w:cs="Times New Roman" w:hint="eastAsia"/>
          <w:sz w:val="24"/>
          <w:szCs w:val="24"/>
        </w:rPr>
        <w:t>，而</w:t>
      </w:r>
      <w:r w:rsidRPr="002A49D9">
        <w:rPr>
          <w:rFonts w:ascii="Times New Roman" w:eastAsia="標楷體" w:hAnsi="Times New Roman" w:cs="Times New Roman"/>
          <w:sz w:val="24"/>
          <w:szCs w:val="24"/>
        </w:rPr>
        <w:t>CDM</w:t>
      </w:r>
      <w:r w:rsidRPr="002A49D9">
        <w:rPr>
          <w:rFonts w:ascii="Times New Roman" w:eastAsia="標楷體" w:hAnsi="Times New Roman" w:cs="Times New Roman"/>
          <w:sz w:val="24"/>
          <w:szCs w:val="24"/>
        </w:rPr>
        <w:t>之申訴制度則為一爭議已久的談判項目</w:t>
      </w:r>
      <w:r>
        <w:rPr>
          <w:rFonts w:ascii="Times New Roman" w:eastAsia="標楷體" w:hAnsi="Times New Roman" w:cs="Times New Roman" w:hint="eastAsia"/>
          <w:sz w:val="24"/>
          <w:szCs w:val="24"/>
        </w:rPr>
        <w:t>，同時</w:t>
      </w:r>
      <w:r w:rsidRPr="002A49D9">
        <w:rPr>
          <w:rFonts w:ascii="Times New Roman" w:eastAsia="標楷體" w:hAnsi="Times New Roman" w:cs="Times New Roman"/>
          <w:sz w:val="24"/>
          <w:szCs w:val="24"/>
        </w:rPr>
        <w:t>GCF</w:t>
      </w:r>
      <w:r w:rsidRPr="002A49D9">
        <w:rPr>
          <w:rFonts w:ascii="Times New Roman" w:eastAsia="標楷體" w:hAnsi="Times New Roman" w:cs="Times New Roman"/>
          <w:sz w:val="24"/>
          <w:szCs w:val="24"/>
        </w:rPr>
        <w:t>之設立決議則明文要求其必須設置申訴制度。因此，本文將以</w:t>
      </w:r>
      <w:r w:rsidRPr="002A49D9">
        <w:rPr>
          <w:rFonts w:ascii="Times New Roman" w:eastAsia="標楷體" w:hAnsi="Times New Roman" w:cs="Times New Roman"/>
          <w:sz w:val="24"/>
          <w:szCs w:val="24"/>
        </w:rPr>
        <w:t>GEF</w:t>
      </w:r>
      <w:r w:rsidRPr="002A49D9">
        <w:rPr>
          <w:rFonts w:ascii="Times New Roman" w:eastAsia="標楷體" w:hAnsi="Times New Roman" w:cs="Times New Roman"/>
          <w:sz w:val="24"/>
          <w:szCs w:val="24"/>
        </w:rPr>
        <w:t>以及</w:t>
      </w:r>
      <w:r w:rsidRPr="002A49D9">
        <w:rPr>
          <w:rFonts w:ascii="Times New Roman" w:eastAsia="標楷體" w:hAnsi="Times New Roman" w:cs="Times New Roman"/>
          <w:sz w:val="24"/>
          <w:szCs w:val="24"/>
        </w:rPr>
        <w:t>CDM</w:t>
      </w:r>
      <w:r w:rsidRPr="002A49D9">
        <w:rPr>
          <w:rFonts w:ascii="Times New Roman" w:eastAsia="標楷體" w:hAnsi="Times New Roman" w:cs="Times New Roman"/>
          <w:sz w:val="24"/>
          <w:szCs w:val="24"/>
        </w:rPr>
        <w:t>之申訴制度及相關爭議為主要研究對象，並據此提出</w:t>
      </w:r>
      <w:r w:rsidRPr="002A49D9">
        <w:rPr>
          <w:rFonts w:ascii="Times New Roman" w:eastAsia="標楷體" w:hAnsi="Times New Roman" w:cs="Times New Roman"/>
          <w:sz w:val="24"/>
          <w:szCs w:val="24"/>
        </w:rPr>
        <w:t>GCF</w:t>
      </w:r>
      <w:r w:rsidRPr="002A49D9">
        <w:rPr>
          <w:rFonts w:ascii="Times New Roman" w:eastAsia="標楷體" w:hAnsi="Times New Roman" w:cs="Times New Roman"/>
          <w:sz w:val="24"/>
          <w:szCs w:val="24"/>
        </w:rPr>
        <w:t>之申訴制度未來在設計上可能遭遇的問題，以及就整體而言，國際氣候變化管制</w:t>
      </w:r>
      <w:proofErr w:type="gramStart"/>
      <w:r w:rsidRPr="002A49D9">
        <w:rPr>
          <w:rFonts w:ascii="Times New Roman" w:eastAsia="標楷體" w:hAnsi="Times New Roman" w:cs="Times New Roman"/>
          <w:sz w:val="24"/>
          <w:szCs w:val="24"/>
        </w:rPr>
        <w:t>體系下</w:t>
      </w:r>
      <w:r>
        <w:rPr>
          <w:rFonts w:ascii="Times New Roman" w:eastAsia="標楷體" w:hAnsi="Times New Roman" w:cs="Times New Roman" w:hint="eastAsia"/>
          <w:sz w:val="24"/>
          <w:szCs w:val="24"/>
        </w:rPr>
        <w:t>具</w:t>
      </w:r>
      <w:r w:rsidRPr="002A49D9">
        <w:rPr>
          <w:rFonts w:ascii="Times New Roman" w:eastAsia="標楷體" w:hAnsi="Times New Roman" w:cs="Times New Roman"/>
          <w:sz w:val="24"/>
          <w:szCs w:val="24"/>
        </w:rPr>
        <w:t>多樣性</w:t>
      </w:r>
      <w:proofErr w:type="gramEnd"/>
      <w:r w:rsidRPr="002A49D9">
        <w:rPr>
          <w:rFonts w:ascii="Times New Roman" w:eastAsia="標楷體" w:hAnsi="Times New Roman" w:cs="Times New Roman"/>
          <w:sz w:val="24"/>
          <w:szCs w:val="24"/>
        </w:rPr>
        <w:t>的財務機制</w:t>
      </w:r>
      <w:r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2A49D9">
        <w:rPr>
          <w:rFonts w:ascii="Times New Roman" w:eastAsia="標楷體" w:hAnsi="Times New Roman" w:cs="Times New Roman"/>
          <w:sz w:val="24"/>
          <w:szCs w:val="24"/>
        </w:rPr>
        <w:t>對於申訴制度的需求</w:t>
      </w:r>
      <w:r>
        <w:rPr>
          <w:rFonts w:ascii="Times New Roman" w:eastAsia="標楷體" w:hAnsi="Times New Roman" w:cs="Times New Roman" w:hint="eastAsia"/>
          <w:sz w:val="24"/>
          <w:szCs w:val="24"/>
        </w:rPr>
        <w:t>與</w:t>
      </w:r>
      <w:r w:rsidRPr="002A49D9">
        <w:rPr>
          <w:rFonts w:ascii="Times New Roman" w:eastAsia="標楷體" w:hAnsi="Times New Roman" w:cs="Times New Roman"/>
          <w:sz w:val="24"/>
          <w:szCs w:val="24"/>
        </w:rPr>
        <w:t>設計，</w:t>
      </w:r>
      <w:r>
        <w:rPr>
          <w:rFonts w:ascii="Times New Roman" w:eastAsia="標楷體" w:hAnsi="Times New Roman" w:cs="Times New Roman" w:hint="eastAsia"/>
          <w:sz w:val="24"/>
          <w:szCs w:val="24"/>
        </w:rPr>
        <w:t>未來</w:t>
      </w:r>
      <w:r w:rsidRPr="002A49D9">
        <w:rPr>
          <w:rFonts w:ascii="Times New Roman" w:eastAsia="標楷體" w:hAnsi="Times New Roman" w:cs="Times New Roman"/>
          <w:sz w:val="24"/>
          <w:szCs w:val="24"/>
        </w:rPr>
        <w:t>可能面臨哪些需要解決的課題。</w:t>
      </w:r>
    </w:p>
    <w:p w:rsidR="00A7043F" w:rsidRPr="002A49D9" w:rsidRDefault="00A7043F" w:rsidP="00A7043F">
      <w:pPr>
        <w:spacing w:before="240" w:after="120" w:line="300" w:lineRule="auto"/>
        <w:ind w:left="984" w:hangingChars="410" w:hanging="984"/>
        <w:rPr>
          <w:rFonts w:ascii="Times New Roman" w:eastAsia="標楷體" w:hAnsi="Times New Roman" w:cs="Times New Roman"/>
          <w:sz w:val="24"/>
          <w:szCs w:val="24"/>
        </w:rPr>
      </w:pPr>
      <w:r w:rsidRPr="00913B26">
        <w:rPr>
          <w:rFonts w:ascii="Times New Roman" w:eastAsia="標楷體" w:hAnsi="Times New Roman" w:cs="Times New Roman"/>
          <w:sz w:val="24"/>
          <w:szCs w:val="24"/>
          <w:u w:val="single"/>
        </w:rPr>
        <w:t>關鍵</w:t>
      </w:r>
      <w:r>
        <w:rPr>
          <w:rFonts w:ascii="Times New Roman" w:eastAsia="標楷體" w:hAnsi="Times New Roman" w:cs="Times New Roman" w:hint="eastAsia"/>
          <w:sz w:val="24"/>
          <w:szCs w:val="24"/>
          <w:u w:val="single"/>
        </w:rPr>
        <w:t>詞</w:t>
      </w:r>
      <w:r w:rsidRPr="002A49D9">
        <w:rPr>
          <w:rFonts w:ascii="Times New Roman" w:eastAsia="標楷體" w:hAnsi="Times New Roman" w:cs="Times New Roman"/>
          <w:sz w:val="24"/>
          <w:szCs w:val="24"/>
        </w:rPr>
        <w:t>：氣候變化綱要公約、京都議定書、氣候變遷財務機制、申訴制度、全球環境設施、清潔發展機制、綠色氣候基金</w:t>
      </w:r>
    </w:p>
    <w:p w:rsidR="00E95DC5" w:rsidRPr="00A7043F" w:rsidRDefault="00A7043F">
      <w:bookmarkStart w:id="0" w:name="_GoBack"/>
      <w:bookmarkEnd w:id="0"/>
    </w:p>
    <w:sectPr w:rsidR="00E95DC5" w:rsidRPr="00A70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F"/>
    <w:rsid w:val="000C7DDF"/>
    <w:rsid w:val="00A7043F"/>
    <w:rsid w:val="00E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F"/>
    <w:pPr>
      <w:spacing w:after="200" w:line="27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F"/>
    <w:pPr>
      <w:spacing w:after="200" w:line="27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1</cp:revision>
  <dcterms:created xsi:type="dcterms:W3CDTF">2015-07-27T14:10:00Z</dcterms:created>
  <dcterms:modified xsi:type="dcterms:W3CDTF">2015-07-27T14:10:00Z</dcterms:modified>
</cp:coreProperties>
</file>