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2D" w:rsidRDefault="00BB4A2D" w:rsidP="00BB4A2D">
      <w:pPr>
        <w:spacing w:after="180"/>
        <w:ind w:firstLine="0"/>
        <w:jc w:val="center"/>
        <w:rPr>
          <w:sz w:val="36"/>
          <w:lang w:eastAsia="zh-TW"/>
        </w:rPr>
      </w:pPr>
    </w:p>
    <w:p w:rsidR="00BB4A2D" w:rsidRPr="00D83C7F" w:rsidRDefault="00BB4A2D" w:rsidP="00BB4A2D">
      <w:pPr>
        <w:spacing w:after="180"/>
        <w:ind w:firstLine="0"/>
        <w:jc w:val="center"/>
        <w:rPr>
          <w:sz w:val="36"/>
          <w:lang w:eastAsia="zh-TW"/>
        </w:rPr>
      </w:pPr>
      <w:r w:rsidRPr="00D83C7F">
        <w:rPr>
          <w:rFonts w:hint="eastAsia"/>
          <w:sz w:val="36"/>
          <w:lang w:eastAsia="zh-TW"/>
        </w:rPr>
        <w:t>摘</w:t>
      </w:r>
      <w:r>
        <w:rPr>
          <w:rFonts w:hint="eastAsia"/>
          <w:sz w:val="36"/>
          <w:lang w:eastAsia="zh-TW"/>
        </w:rPr>
        <w:t xml:space="preserve"> </w:t>
      </w:r>
      <w:r w:rsidRPr="00D83C7F">
        <w:rPr>
          <w:rFonts w:hint="eastAsia"/>
          <w:sz w:val="36"/>
          <w:lang w:eastAsia="zh-TW"/>
        </w:rPr>
        <w:t>要</w:t>
      </w:r>
    </w:p>
    <w:p w:rsidR="00BB4A2D" w:rsidRPr="00D83C7F" w:rsidRDefault="00BB4A2D" w:rsidP="00BB4A2D">
      <w:pPr>
        <w:snapToGrid w:val="0"/>
        <w:spacing w:before="120" w:afterLines="0" w:after="120" w:line="300" w:lineRule="auto"/>
        <w:ind w:firstLine="442"/>
        <w:rPr>
          <w:sz w:val="22"/>
          <w:lang w:eastAsia="zh-TW"/>
        </w:rPr>
      </w:pPr>
      <w:r w:rsidRPr="00D83C7F">
        <w:rPr>
          <w:rFonts w:hint="eastAsia"/>
          <w:sz w:val="22"/>
          <w:lang w:eastAsia="zh-TW"/>
        </w:rPr>
        <w:t>加拿大</w:t>
      </w:r>
      <w:proofErr w:type="gramStart"/>
      <w:r w:rsidRPr="00D83C7F">
        <w:rPr>
          <w:rFonts w:hint="eastAsia"/>
          <w:sz w:val="22"/>
          <w:lang w:eastAsia="zh-TW"/>
        </w:rPr>
        <w:t>──</w:t>
      </w:r>
      <w:proofErr w:type="gramEnd"/>
      <w:r w:rsidRPr="00D83C7F">
        <w:rPr>
          <w:rFonts w:hint="eastAsia"/>
          <w:sz w:val="22"/>
          <w:lang w:eastAsia="zh-TW"/>
        </w:rPr>
        <w:t>再生能源案之上訴機構藉由考慮市場供應面之差異，推導出政府再生能源收購費率並未當然地授與再生能源業者利益，因為該收購制度下之供電組合定義創造了新的再生能源市場，而非協助原無法競爭之再生能源業者進入既有的能源市場。這樣的解釋方法與歷來爭端解決案例以市場為基礎的利益分析方法有相當的偏離。儘管上訴機構在利益基準的選擇上，強調必須是此新創市場上透過價格發現機制所決定的指標，而有向市場原則靠攏的意味，但卻也使得其裁決對環保政策之可能貢獻更為模糊。值得注意的是，其有關受有利益的解釋可能開啟產業扶植之門，並對</w:t>
      </w:r>
      <w:r w:rsidRPr="00D83C7F">
        <w:rPr>
          <w:sz w:val="22"/>
          <w:lang w:eastAsia="zh-TW"/>
        </w:rPr>
        <w:t>WTO</w:t>
      </w:r>
      <w:r w:rsidRPr="00D83C7F">
        <w:rPr>
          <w:rFonts w:hint="eastAsia"/>
          <w:sz w:val="22"/>
          <w:lang w:eastAsia="zh-TW"/>
        </w:rPr>
        <w:t>規範體系產生不必要的衝擊，有賴未來裁決對之做出限縮解釋，或進一步的澄清，以降低其負面效應。</w:t>
      </w:r>
    </w:p>
    <w:p w:rsidR="00BB4A2D" w:rsidRPr="00D83C7F" w:rsidRDefault="00BB4A2D" w:rsidP="00BB4A2D">
      <w:pPr>
        <w:spacing w:after="180"/>
        <w:ind w:firstLine="0"/>
        <w:rPr>
          <w:sz w:val="22"/>
          <w:lang w:eastAsia="zh-TW"/>
        </w:rPr>
      </w:pPr>
      <w:r w:rsidRPr="00D83C7F">
        <w:rPr>
          <w:rFonts w:hint="eastAsia"/>
          <w:sz w:val="22"/>
          <w:lang w:eastAsia="zh-TW"/>
        </w:rPr>
        <w:t>關鍵詞：再生能源、受有利益、市場基礎、環保政策、供應面、供電組合</w:t>
      </w:r>
    </w:p>
    <w:p w:rsidR="00E95DC5" w:rsidRDefault="00BB4A2D" w:rsidP="00BB4A2D">
      <w:pPr>
        <w:spacing w:after="180"/>
        <w:rPr>
          <w:lang w:eastAsia="zh-TW"/>
        </w:rPr>
      </w:pPr>
      <w:bookmarkStart w:id="0" w:name="_GoBack"/>
      <w:bookmarkEnd w:id="0"/>
    </w:p>
    <w:sectPr w:rsidR="00E95DC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2D"/>
    <w:rsid w:val="000C7DDF"/>
    <w:rsid w:val="00BB4A2D"/>
    <w:rsid w:val="00E81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2D"/>
    <w:pPr>
      <w:spacing w:afterLines="50" w:line="252" w:lineRule="auto"/>
      <w:ind w:firstLine="482"/>
      <w:jc w:val="both"/>
    </w:pPr>
    <w:rPr>
      <w:rFonts w:ascii="Times New Roman" w:eastAsia="標楷體" w:hAnsi="Times New Roman" w:cstheme="majorBidi"/>
      <w:kern w:val="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2D"/>
    <w:pPr>
      <w:spacing w:afterLines="50" w:line="252" w:lineRule="auto"/>
      <w:ind w:firstLine="482"/>
      <w:jc w:val="both"/>
    </w:pPr>
    <w:rPr>
      <w:rFonts w:ascii="Times New Roman" w:eastAsia="標楷體" w:hAnsi="Times New Roman" w:cstheme="majorBidi"/>
      <w:kern w:val="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dc:creator>
  <cp:lastModifiedBy>TANG</cp:lastModifiedBy>
  <cp:revision>1</cp:revision>
  <dcterms:created xsi:type="dcterms:W3CDTF">2015-07-27T14:04:00Z</dcterms:created>
  <dcterms:modified xsi:type="dcterms:W3CDTF">2015-07-27T14:04:00Z</dcterms:modified>
</cp:coreProperties>
</file>